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10AB16" w14:textId="77777777" w:rsidR="001707ED" w:rsidRDefault="00450596" w:rsidP="001707ED">
      <w:pPr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«Бизнес коммуникацияны инвестициялау моделі»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қорытынды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бағдарламасы</w:t>
      </w:r>
      <w:proofErr w:type="spellEnd"/>
      <w:r w:rsidRPr="00450596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тәртіп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Құрметті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үлгі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тізбесі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1.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анықтамасы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2. Дата репортаж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концепциясы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әдіс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Салалық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дата-репортаж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кейстер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4. Дата репортаж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құралдары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журналистикасы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6. Репортер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жұмысындағы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деректердің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7. Дата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журналистикадағы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әлеуметтік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зерттеулер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деректермен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Edited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Jonathan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Gray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Liliana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Bounegru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Lucy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Chambers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The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2 2.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Produced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European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Centre. The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1 3.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Mayer-Schonberger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V.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Cukier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K. (2013). Big Data: A Revolution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Transform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We Live, Work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Boston 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Houghton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Mifflin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Harcourt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4.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Felle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John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Mair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Damian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Radcliffe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Inside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Global Future.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Abramis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2015. p. 5. John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Mair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Lance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Keeble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Megan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Lucero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Martin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Moore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past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present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future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Abramis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publishing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>, 2017. Интернет-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ресурстар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1. https://public.tableau.com/en-us/gallery/?tab=viz-of-the-day&amp;type=viz-of-the-day 2. The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Visualization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Catalogue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3. The Data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Handbook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1 4. https://www.youtube.com/watch?v=jbkSRLYSojo&amp;feature=youtu.be 5. https://www.youtube.com/watch?list=PL964C97FCE910FD83&amp;time_continue=43&amp;v =g_B7TyKcFT8&amp;feature=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emb_logo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6. http://datajournalism.stanford.edu/ 7. http://archive.nytimes.com/www.nytimes.com/interactive/2012/08/05/sports/olympics/ the-100-meter-dash-one-race-every-medalist-ever.html 8. https://flowingdata.com/tag/audiolization/ 9. https://raw.githubusercontent.com/ft-interactive/chart-doctor/master/visual</w:t>
      </w:r>
      <w:r w:rsidRPr="00450596">
        <w:rPr>
          <w:rFonts w:ascii="Times New Roman" w:hAnsi="Times New Roman" w:cs="Times New Roman"/>
          <w:sz w:val="28"/>
          <w:szCs w:val="28"/>
        </w:rPr>
        <w:t/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vocabulary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/poster.png 10. https://datavizcatalogue.com/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Қосымшалар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1.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OpenNews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Source 2.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DataDrivenJournalism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3. Q&amp;A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Edward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Tufte's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Website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«Data-репортаж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деректер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трансформациясы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өткізіледі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CFE6CF" w14:textId="31D66C97" w:rsidR="001707ED" w:rsidRDefault="00450596" w:rsidP="001707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форматы-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асинхронды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техникасымен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жарияланған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алушыларға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нұсқаулықтан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аласыз.әл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>-Фараби, "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қашықтықтан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беру"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бөлімінде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- " сессия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нұсқаулық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Сілтеме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танысып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өтіңіз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https://www.kaznu.kz/ru/21639/page/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әл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-Фараби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ҚазҰУ-дың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корпоративтік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СДО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платформасында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– форматы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жобалық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мамандықтар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ұсынылатын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тапсырмаларын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алушыға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топтық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тапсырмалардың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тақырыптарын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береді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күн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апта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мерзімін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өзі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анықтайды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кестесіне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тапсырылады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AB45571" w14:textId="77777777" w:rsidR="009E1781" w:rsidRDefault="00450596" w:rsidP="001707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lastRenderedPageBreak/>
        <w:t xml:space="preserve">МАҢЫЗДЫ: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орындауда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бейнежазба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анық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жазылуы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топтағы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қатысушылардың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белсенділігіне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жұмыстарын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бағалауда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комиссиясының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бақылауы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r w:rsidRPr="00450596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бейнежазбаға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жазады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r w:rsidRPr="00450596">
        <w:rPr>
          <w:rFonts w:ascii="Times New Roman" w:hAnsi="Times New Roman" w:cs="Times New Roman"/>
          <w:sz w:val="28"/>
          <w:szCs w:val="28"/>
        </w:rPr>
        <w:sym w:font="Symbol" w:char="F0B7"/>
      </w:r>
      <w:r w:rsidRPr="00450596">
        <w:rPr>
          <w:rFonts w:ascii="Times New Roman" w:hAnsi="Times New Roman" w:cs="Times New Roman"/>
          <w:sz w:val="28"/>
          <w:szCs w:val="28"/>
        </w:rPr>
        <w:t xml:space="preserve"> сессия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аяқталғаннан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3 ай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бейнежазбасын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сақтайды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Дайындық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уақыты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алушы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комиссиясы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шешеді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жоспарланған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себептермен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уақытында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алмасаңыз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онда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сізге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проректорға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жазылған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өтініш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мүмкіндік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беріледі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Өтінішті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куратор-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эдвайзерге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оқытушысына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бөлімге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жіберу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жіберіңіз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Билет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Билетте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Бірінші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блоктағы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магистрант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жетік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Екінші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анағұрлым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күрделі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магистрант тек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қоймай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машығына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Үшінші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блокта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қиын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оларға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магистранттар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терминологияны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білуі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бағдарламада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дағдыларына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ие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біліміне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сенімділік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танытуы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керек.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нақты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актілер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баптары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көрсетіле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отырып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негіздеу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егжей-тегжейлі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дәлелді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берілуге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Сұрақтағы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кейс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ұсынылуы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талдануы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түпнұсқадан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жазғанын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жауабыңыз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тексеріледі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түпнұсқалығының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минималды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рұқсат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етілген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деңгейі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75%.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мұғалім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алынған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дәйексөздер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оқушының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жұмысына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сілтемелер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нормативтік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құқықтық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актілерден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үзінді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шыққан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ескереді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саясаты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Әріптік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Балдың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сандық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эквиваленті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%-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мазмұны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Жұмыстың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Дәстүрлі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бағалау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жүйесі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А 4,0 95-100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А - 3,67 90 -94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В+ 3,33 85 -89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В 3,0 80 -84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В - 2,67 75 -79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. С+ 2,33 70 -74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Қанағаттанарлық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С 2,0 65 -69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С - 1,67 60 -64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8 0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D+ 1,33 55-59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lastRenderedPageBreak/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D- 1,0 50-54 75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Түпнұсқалық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талабы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ұқсастық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байқалу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%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қысқартылуы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F 0 0-49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Қанағаттанарлықсыз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254F2E" w14:textId="5480C28C" w:rsidR="00E36343" w:rsidRPr="001707ED" w:rsidRDefault="00450596" w:rsidP="001707ED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596">
        <w:rPr>
          <w:rFonts w:ascii="Times New Roman" w:hAnsi="Times New Roman" w:cs="Times New Roman"/>
          <w:sz w:val="28"/>
          <w:szCs w:val="28"/>
        </w:rPr>
        <w:t xml:space="preserve">МАҢЫЗДЫ.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Аттестациялаудан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кейін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біраз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өткен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соң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ұпайыңыз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бейнежазбаны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қарау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есепті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тексеру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бұзу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нәтижесінде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жойылуы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құндылық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Академиялық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адалдық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тұтастық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бетінше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плагиатқа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жалғандыққа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шпаргалкаларды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гаджеттерді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пайдалануға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білімді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бақылаудың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кезеңдерінде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алдауға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оқытушыны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алдауға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құрметсіздікпен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қарауға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ҚазҰУ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студентінің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ар-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намыс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0596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450596">
        <w:rPr>
          <w:rFonts w:ascii="Times New Roman" w:hAnsi="Times New Roman" w:cs="Times New Roman"/>
          <w:sz w:val="28"/>
          <w:szCs w:val="28"/>
        </w:rPr>
        <w:t xml:space="preserve">). </w:t>
      </w:r>
      <w:r w:rsidR="001707ED">
        <w:rPr>
          <w:rFonts w:ascii="Times New Roman" w:hAnsi="Times New Roman" w:cs="Times New Roman"/>
          <w:sz w:val="28"/>
          <w:szCs w:val="28"/>
          <w:lang w:val="kk-KZ"/>
        </w:rPr>
        <w:t>Емтиханға</w:t>
      </w:r>
      <w:r>
        <w:t xml:space="preserve"> </w:t>
      </w:r>
      <w:r w:rsidRPr="001707ED">
        <w:rPr>
          <w:b/>
          <w:bCs/>
        </w:rPr>
        <w:t>СӘТТІЛІК</w:t>
      </w:r>
    </w:p>
    <w:sectPr w:rsidR="00E36343" w:rsidRPr="00170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D16"/>
    <w:rsid w:val="001707ED"/>
    <w:rsid w:val="00241FF7"/>
    <w:rsid w:val="00450596"/>
    <w:rsid w:val="005B5D16"/>
    <w:rsid w:val="009E1781"/>
    <w:rsid w:val="00E3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292B1"/>
  <w15:chartTrackingRefBased/>
  <w15:docId w15:val="{AB57A03C-9CAA-42F6-8347-291D895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936</Words>
  <Characters>5338</Characters>
  <Application>Microsoft Office Word</Application>
  <DocSecurity>0</DocSecurity>
  <Lines>44</Lines>
  <Paragraphs>12</Paragraphs>
  <ScaleCrop>false</ScaleCrop>
  <Company/>
  <LinksUpToDate>false</LinksUpToDate>
  <CharactersWithSpaces>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5</cp:revision>
  <dcterms:created xsi:type="dcterms:W3CDTF">2022-09-28T04:53:00Z</dcterms:created>
  <dcterms:modified xsi:type="dcterms:W3CDTF">2022-09-28T04:57:00Z</dcterms:modified>
</cp:coreProperties>
</file>